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24" w:rsidRDefault="00D61224" w:rsidP="00D6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HASIL REKOMENDASI PERTEMUAN FORUM DEKAN/ JURUSAN SYARIAH</w:t>
      </w:r>
    </w:p>
    <w:p w:rsidR="00D61224" w:rsidRDefault="00D61224" w:rsidP="00D6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 FORUM ASOSIASI DOSEN SYARIAH INDONESIA</w:t>
      </w:r>
    </w:p>
    <w:p w:rsidR="00D61224" w:rsidRDefault="00D61224" w:rsidP="005B6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UIN MA</w:t>
      </w:r>
      <w:r w:rsidR="005B6E5A">
        <w:rPr>
          <w:rFonts w:ascii="Times New Roman" w:hAnsi="Times New Roman"/>
          <w:b/>
          <w:bCs/>
          <w:sz w:val="24"/>
          <w:szCs w:val="24"/>
        </w:rPr>
        <w:t xml:space="preserve">ULANA MALIK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5B6E5A">
        <w:rPr>
          <w:rFonts w:ascii="Times New Roman" w:hAnsi="Times New Roman"/>
          <w:b/>
          <w:bCs/>
          <w:sz w:val="24"/>
          <w:szCs w:val="24"/>
        </w:rPr>
        <w:t>BRAHIM</w:t>
      </w:r>
      <w:r>
        <w:rPr>
          <w:rFonts w:ascii="Times New Roman" w:hAnsi="Times New Roman"/>
          <w:b/>
          <w:bCs/>
          <w:sz w:val="24"/>
          <w:szCs w:val="24"/>
        </w:rPr>
        <w:t xml:space="preserve"> MALANG, </w:t>
      </w:r>
    </w:p>
    <w:p w:rsidR="005B6E5A" w:rsidRPr="00096F4A" w:rsidRDefault="005B6E5A" w:rsidP="005B6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RABU, 22 OKTOBER 2014</w:t>
      </w:r>
    </w:p>
    <w:p w:rsidR="00D61224" w:rsidRPr="00096F4A" w:rsidRDefault="00D61224" w:rsidP="00D6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1224" w:rsidRPr="00096F4A" w:rsidRDefault="00D61224" w:rsidP="00D6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1224" w:rsidRDefault="00D61224" w:rsidP="00881B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6F4A">
        <w:rPr>
          <w:rFonts w:ascii="Times New Roman" w:hAnsi="Times New Roman"/>
          <w:sz w:val="24"/>
          <w:szCs w:val="24"/>
        </w:rPr>
        <w:t>Penetapan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Pembidangan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Ilmu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Akademik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lingkungan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Perguruan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Tinggi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96F4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096F4A">
        <w:rPr>
          <w:rFonts w:ascii="Times New Roman" w:hAnsi="Times New Roman"/>
          <w:sz w:val="24"/>
          <w:szCs w:val="24"/>
        </w:rPr>
        <w:t>tertuang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dalam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Peraturan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Menteri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096F4A">
        <w:rPr>
          <w:rFonts w:ascii="Times New Roman" w:hAnsi="Times New Roman"/>
          <w:sz w:val="24"/>
          <w:szCs w:val="24"/>
        </w:rPr>
        <w:t>Republik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096F4A">
        <w:rPr>
          <w:rFonts w:ascii="Times New Roman" w:hAnsi="Times New Roman"/>
          <w:sz w:val="24"/>
          <w:szCs w:val="24"/>
        </w:rPr>
        <w:t>Nomor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096F4A">
        <w:rPr>
          <w:rFonts w:ascii="Times New Roman" w:hAnsi="Times New Roman"/>
          <w:sz w:val="24"/>
          <w:szCs w:val="24"/>
        </w:rPr>
        <w:t>Tahun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2009,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hasil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B6E5A">
        <w:rPr>
          <w:rFonts w:ascii="Times New Roman" w:hAnsi="Times New Roman"/>
          <w:sz w:val="24"/>
          <w:szCs w:val="24"/>
        </w:rPr>
        <w:t xml:space="preserve">forum </w:t>
      </w:r>
      <w:proofErr w:type="spellStart"/>
      <w:r w:rsidR="005B6E5A">
        <w:rPr>
          <w:rFonts w:ascii="Times New Roman" w:hAnsi="Times New Roman"/>
          <w:sz w:val="24"/>
          <w:szCs w:val="24"/>
        </w:rPr>
        <w:t>dekan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dan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forum </w:t>
      </w:r>
      <w:proofErr w:type="spellStart"/>
      <w:r>
        <w:rPr>
          <w:rFonts w:ascii="Times New Roman" w:hAnsi="Times New Roman"/>
          <w:sz w:val="24"/>
          <w:szCs w:val="24"/>
        </w:rPr>
        <w:t>Asosiasi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</w:t>
      </w:r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dinilai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bagi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PTAIN/S</w:t>
      </w:r>
      <w:r w:rsidRPr="00D22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/>
          <w:sz w:val="24"/>
          <w:szCs w:val="24"/>
        </w:rPr>
        <w:t>lebih-lebih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alumni </w:t>
      </w:r>
      <w:proofErr w:type="spellStart"/>
      <w:r w:rsidRPr="00096F4A">
        <w:rPr>
          <w:rFonts w:ascii="Times New Roman" w:hAnsi="Times New Roman"/>
          <w:sz w:val="24"/>
          <w:szCs w:val="24"/>
        </w:rPr>
        <w:t>mahasiswa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Fakultas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Syari’ah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96F4A">
        <w:rPr>
          <w:rFonts w:ascii="Times New Roman" w:hAnsi="Times New Roman"/>
          <w:sz w:val="24"/>
          <w:szCs w:val="24"/>
        </w:rPr>
        <w:t>Pasalnya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EA6">
        <w:rPr>
          <w:rFonts w:ascii="Times New Roman" w:hAnsi="Times New Roman"/>
          <w:b/>
          <w:bCs/>
          <w:i/>
          <w:iCs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Sarjana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Hukum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Islam (SHI) yang </w:t>
      </w:r>
      <w:proofErr w:type="spellStart"/>
      <w:r w:rsidRPr="00096F4A">
        <w:rPr>
          <w:rFonts w:ascii="Times New Roman" w:hAnsi="Times New Roman"/>
          <w:sz w:val="24"/>
          <w:szCs w:val="24"/>
        </w:rPr>
        <w:t>baru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mulai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respon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dikenal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oleh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lulusan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F4A">
        <w:rPr>
          <w:rFonts w:ascii="Times New Roman" w:hAnsi="Times New Roman"/>
          <w:sz w:val="24"/>
          <w:szCs w:val="24"/>
        </w:rPr>
        <w:t>kini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SHI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diganti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den</w:t>
      </w:r>
      <w:r>
        <w:rPr>
          <w:rFonts w:ascii="Times New Roman" w:hAnsi="Times New Roman"/>
          <w:sz w:val="24"/>
          <w:szCs w:val="24"/>
        </w:rPr>
        <w:t>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Syari’ah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S.Sy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dikenali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lulusan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S.Sy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96F4A">
        <w:rPr>
          <w:rFonts w:ascii="Times New Roman" w:hAnsi="Times New Roman"/>
          <w:sz w:val="24"/>
          <w:szCs w:val="24"/>
        </w:rPr>
        <w:t>semakin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abstrak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1EA6">
        <w:rPr>
          <w:rFonts w:ascii="Times New Roman" w:hAnsi="Times New Roman"/>
          <w:b/>
          <w:bCs/>
          <w:i/>
          <w:iCs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gelar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S.HI. </w:t>
      </w:r>
      <w:proofErr w:type="spellStart"/>
      <w:proofErr w:type="gram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lebih</w:t>
      </w:r>
      <w:proofErr w:type="spellEnd"/>
      <w:proofErr w:type="gram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diterima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melanjutkan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studi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S2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akultas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Hukum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gelar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S.Sy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5B6E5A" w:rsidRPr="00BF45D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ketiga</w:t>
      </w:r>
      <w:proofErr w:type="spellEnd"/>
      <w:r w:rsidR="005B6E5A" w:rsidRPr="00BF45D7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gelar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S.Sy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kurang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menunjukkan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kompetensi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spesifik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di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bidang</w:t>
      </w:r>
      <w:proofErr w:type="spellEnd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B6E5A" w:rsidRPr="00BF45D7">
        <w:rPr>
          <w:rFonts w:ascii="Times New Roman" w:hAnsi="Times New Roman"/>
          <w:color w:val="000000" w:themeColor="text1"/>
          <w:sz w:val="24"/>
          <w:szCs w:val="24"/>
        </w:rPr>
        <w:t>disiplin</w:t>
      </w:r>
      <w:proofErr w:type="spellEnd"/>
      <w:r w:rsidR="005B6E5A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 w:rsidRPr="00096F4A">
        <w:rPr>
          <w:rFonts w:ascii="Times New Roman" w:hAnsi="Times New Roman"/>
          <w:sz w:val="24"/>
          <w:szCs w:val="24"/>
        </w:rPr>
        <w:t>keilmuan</w:t>
      </w:r>
      <w:proofErr w:type="spellEnd"/>
      <w:r w:rsidR="005B6E5A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hukum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6E5A">
        <w:rPr>
          <w:rFonts w:ascii="Times New Roman" w:hAnsi="Times New Roman"/>
          <w:sz w:val="24"/>
          <w:szCs w:val="24"/>
        </w:rPr>
        <w:t>mengingat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Syariah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r w:rsidR="005B6E5A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itu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sendiri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secara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ontologis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memuat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cakupan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makna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B6E5A">
        <w:rPr>
          <w:rFonts w:ascii="Times New Roman" w:hAnsi="Times New Roman"/>
          <w:sz w:val="24"/>
          <w:szCs w:val="24"/>
        </w:rPr>
        <w:t>sangat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luas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="005B6E5A">
        <w:rPr>
          <w:rFonts w:ascii="Times New Roman" w:hAnsi="Times New Roman"/>
          <w:sz w:val="24"/>
          <w:szCs w:val="24"/>
        </w:rPr>
        <w:t>tidak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hanya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terbatas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pada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permasalahan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hukum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6E5A">
        <w:rPr>
          <w:rFonts w:ascii="Times New Roman" w:hAnsi="Times New Roman"/>
          <w:sz w:val="24"/>
          <w:szCs w:val="24"/>
        </w:rPr>
        <w:t>melainkan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juga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masalah-masalah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aqidah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dan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akhlak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1EA6">
        <w:rPr>
          <w:rFonts w:ascii="Times New Roman" w:hAnsi="Times New Roman"/>
          <w:b/>
          <w:bCs/>
          <w:i/>
          <w:iCs/>
          <w:sz w:val="24"/>
          <w:szCs w:val="24"/>
        </w:rPr>
        <w:t>ke</w:t>
      </w:r>
      <w:r w:rsidR="005B6E5A">
        <w:rPr>
          <w:rFonts w:ascii="Times New Roman" w:hAnsi="Times New Roman"/>
          <w:b/>
          <w:bCs/>
          <w:i/>
          <w:iCs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B6E5A">
        <w:rPr>
          <w:rFonts w:ascii="Times New Roman" w:hAnsi="Times New Roman"/>
          <w:sz w:val="24"/>
          <w:szCs w:val="24"/>
        </w:rPr>
        <w:t>untuk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mengenalkan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dan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mempopulerkan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gelar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baru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B6E5A">
        <w:rPr>
          <w:rFonts w:ascii="Times New Roman" w:hAnsi="Times New Roman"/>
          <w:sz w:val="24"/>
          <w:szCs w:val="24"/>
        </w:rPr>
        <w:t>semakin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abstrak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itu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membutuhkan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waktu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B6E5A">
        <w:rPr>
          <w:rFonts w:ascii="Times New Roman" w:hAnsi="Times New Roman"/>
          <w:sz w:val="24"/>
          <w:szCs w:val="24"/>
        </w:rPr>
        <w:t>relatif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="005B6E5A">
        <w:rPr>
          <w:rFonts w:ascii="Times New Roman" w:hAnsi="Times New Roman"/>
          <w:sz w:val="24"/>
          <w:szCs w:val="24"/>
        </w:rPr>
        <w:t>dan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energi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B6E5A">
        <w:rPr>
          <w:rFonts w:ascii="Times New Roman" w:hAnsi="Times New Roman"/>
          <w:sz w:val="24"/>
          <w:szCs w:val="24"/>
        </w:rPr>
        <w:t>tidak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E5A">
        <w:rPr>
          <w:rFonts w:ascii="Times New Roman" w:hAnsi="Times New Roman"/>
          <w:sz w:val="24"/>
          <w:szCs w:val="24"/>
        </w:rPr>
        <w:t>sederhana</w:t>
      </w:r>
      <w:proofErr w:type="spellEnd"/>
      <w:r w:rsidR="005B6E5A">
        <w:rPr>
          <w:rFonts w:ascii="Times New Roman" w:hAnsi="Times New Roman"/>
          <w:sz w:val="24"/>
          <w:szCs w:val="24"/>
        </w:rPr>
        <w:t xml:space="preserve"> </w:t>
      </w:r>
    </w:p>
    <w:p w:rsidR="00D61224" w:rsidRPr="00096F4A" w:rsidRDefault="00D61224" w:rsidP="0065505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058"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096F4A">
        <w:rPr>
          <w:rFonts w:ascii="Times New Roman" w:hAnsi="Times New Roman"/>
          <w:sz w:val="24"/>
          <w:szCs w:val="24"/>
        </w:rPr>
        <w:t>epat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atau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lambat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F4A">
        <w:rPr>
          <w:rFonts w:ascii="Times New Roman" w:hAnsi="Times New Roman"/>
          <w:sz w:val="24"/>
          <w:szCs w:val="24"/>
        </w:rPr>
        <w:t>penetapan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PMA RI No 36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pembidangan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</w:t>
      </w:r>
      <w:r w:rsidRPr="00096F4A">
        <w:rPr>
          <w:rFonts w:ascii="Times New Roman" w:hAnsi="Times New Roman"/>
          <w:sz w:val="24"/>
          <w:szCs w:val="24"/>
        </w:rPr>
        <w:t>demik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berdampak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secara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langsung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terhadap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menurunnya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daya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saing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mahasiswa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Fakultas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Syari’ah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dalam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skala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global</w:t>
      </w:r>
      <w:r>
        <w:rPr>
          <w:rFonts w:ascii="Times New Roman" w:hAnsi="Times New Roman"/>
          <w:sz w:val="24"/>
          <w:szCs w:val="24"/>
        </w:rPr>
        <w:t>.</w:t>
      </w:r>
    </w:p>
    <w:p w:rsidR="00D61224" w:rsidRPr="00096F4A" w:rsidRDefault="00D61224" w:rsidP="0065505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96F4A">
        <w:rPr>
          <w:rFonts w:ascii="Times New Roman" w:hAnsi="Times New Roman"/>
          <w:sz w:val="24"/>
          <w:szCs w:val="24"/>
        </w:rPr>
        <w:t>Dalam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konsideran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peraturan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tersebut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pada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satu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sisi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dijelaskan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bahwa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salah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satu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alasan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pembidangan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ilmu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akademik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adalah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untuk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mengakomodir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sekian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kompetensi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keilmuan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lingkungan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Perguruan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Tinggi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Agama.</w:t>
      </w:r>
      <w:proofErr w:type="gram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Hanya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saja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pada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sisi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6F4A">
        <w:rPr>
          <w:rFonts w:ascii="Times New Roman" w:hAnsi="Times New Roman"/>
          <w:sz w:val="24"/>
          <w:szCs w:val="24"/>
        </w:rPr>
        <w:t>lain</w:t>
      </w:r>
      <w:proofErr w:type="gram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pengambilan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keputusan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tersebut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sangat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normatif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kurang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berpijak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pada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pertimbangan-pertimbangan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empiris</w:t>
      </w:r>
      <w:proofErr w:type="spellEnd"/>
      <w:r w:rsidR="00655058">
        <w:rPr>
          <w:rFonts w:ascii="Times New Roman" w:hAnsi="Times New Roman"/>
          <w:sz w:val="24"/>
          <w:szCs w:val="24"/>
        </w:rPr>
        <w:t>.</w:t>
      </w:r>
    </w:p>
    <w:p w:rsidR="00D61224" w:rsidRPr="00096F4A" w:rsidRDefault="00D61224" w:rsidP="0065505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6F4A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antara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beberapa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kelemahan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pembidangan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PMA No 36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karena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kurangnya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nilai-nilai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relevansional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antara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muatan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keilmuan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96F4A">
        <w:rPr>
          <w:rFonts w:ascii="Times New Roman" w:hAnsi="Times New Roman"/>
          <w:sz w:val="24"/>
          <w:szCs w:val="24"/>
        </w:rPr>
        <w:t>dikembangkan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masing-masing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perguruan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tinggi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tertentu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55058">
        <w:rPr>
          <w:rFonts w:ascii="Times New Roman" w:hAnsi="Times New Roman"/>
          <w:i/>
          <w:iCs/>
          <w:sz w:val="24"/>
          <w:szCs w:val="24"/>
        </w:rPr>
        <w:t>marketable</w:t>
      </w:r>
      <w:r w:rsidRPr="00096F4A">
        <w:rPr>
          <w:rFonts w:ascii="Times New Roman" w:hAnsi="Times New Roman"/>
          <w:sz w:val="24"/>
          <w:szCs w:val="24"/>
        </w:rPr>
        <w:t>.</w:t>
      </w:r>
      <w:proofErr w:type="gramEnd"/>
      <w:r w:rsidRPr="00096F4A">
        <w:rPr>
          <w:rFonts w:ascii="Times New Roman" w:hAnsi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</w:t>
      </w:r>
      <w:r w:rsidRPr="00096F4A">
        <w:rPr>
          <w:rFonts w:ascii="Times New Roman" w:hAnsi="Times New Roman"/>
          <w:sz w:val="24"/>
          <w:szCs w:val="24"/>
        </w:rPr>
        <w:t>npa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terasa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telah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mengurangi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gengsi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kewibawaan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sistem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pendidikan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Perguruan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Tinggi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lingkungan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058">
        <w:rPr>
          <w:rFonts w:ascii="Times New Roman" w:hAnsi="Times New Roman"/>
          <w:sz w:val="24"/>
          <w:szCs w:val="24"/>
        </w:rPr>
        <w:lastRenderedPageBreak/>
        <w:t>Kementerian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Agama Islam, </w:t>
      </w:r>
      <w:proofErr w:type="spellStart"/>
      <w:r w:rsidRPr="00096F4A">
        <w:rPr>
          <w:rFonts w:ascii="Times New Roman" w:hAnsi="Times New Roman"/>
          <w:sz w:val="24"/>
          <w:szCs w:val="24"/>
        </w:rPr>
        <w:t>lebih-lebih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institusi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058">
        <w:rPr>
          <w:rFonts w:ascii="Times New Roman" w:hAnsi="Times New Roman"/>
          <w:sz w:val="24"/>
          <w:szCs w:val="24"/>
        </w:rPr>
        <w:t>Kementerian</w:t>
      </w:r>
      <w:proofErr w:type="spellEnd"/>
      <w:r w:rsidR="00655058">
        <w:rPr>
          <w:rFonts w:ascii="Times New Roman" w:hAnsi="Times New Roman"/>
          <w:sz w:val="24"/>
          <w:szCs w:val="24"/>
        </w:rPr>
        <w:t xml:space="preserve"> </w:t>
      </w:r>
      <w:r w:rsidRPr="00096F4A">
        <w:rPr>
          <w:rFonts w:ascii="Times New Roman" w:hAnsi="Times New Roman"/>
          <w:sz w:val="24"/>
          <w:szCs w:val="24"/>
        </w:rPr>
        <w:t xml:space="preserve">Agama RI </w:t>
      </w:r>
      <w:proofErr w:type="spellStart"/>
      <w:r w:rsidRPr="00096F4A">
        <w:rPr>
          <w:rFonts w:ascii="Times New Roman" w:hAnsi="Times New Roman"/>
          <w:sz w:val="24"/>
          <w:szCs w:val="24"/>
        </w:rPr>
        <w:t>itu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sendiri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96F4A">
        <w:rPr>
          <w:rFonts w:ascii="Times New Roman" w:hAnsi="Times New Roman"/>
          <w:sz w:val="24"/>
          <w:szCs w:val="24"/>
        </w:rPr>
        <w:t>Keresahan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itu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semakin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nampak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mata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masyarakat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96F4A">
        <w:rPr>
          <w:rFonts w:ascii="Times New Roman" w:hAnsi="Times New Roman"/>
          <w:sz w:val="24"/>
          <w:szCs w:val="24"/>
        </w:rPr>
        <w:t>akademisi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6F4A">
        <w:rPr>
          <w:rFonts w:ascii="Times New Roman" w:hAnsi="Times New Roman"/>
          <w:sz w:val="24"/>
          <w:szCs w:val="24"/>
        </w:rPr>
        <w:t>ketika</w:t>
      </w:r>
      <w:proofErr w:type="spellEnd"/>
      <w:proofErr w:type="gram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masa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depan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prospek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peluang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kerja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mereka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kurang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dipertimbangkan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kaitannya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dalam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pengambilan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keputusan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penetapan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61224" w:rsidRPr="00096F4A" w:rsidRDefault="00655058" w:rsidP="00AE6A9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D61224">
        <w:rPr>
          <w:rFonts w:ascii="Times New Roman" w:hAnsi="Times New Roman"/>
          <w:sz w:val="24"/>
          <w:szCs w:val="24"/>
        </w:rPr>
        <w:t>erubahan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pembaruan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pembidangan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keilmuan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gelar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akademik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dalam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kontek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sejarah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juga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telah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terjadi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1224">
        <w:rPr>
          <w:rFonts w:ascii="Times New Roman" w:hAnsi="Times New Roman"/>
          <w:sz w:val="24"/>
          <w:szCs w:val="24"/>
        </w:rPr>
        <w:t>misalnya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dimulai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peralihan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pertama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dilingkungan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perguruan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tinggi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yaitu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Drs/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Dra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menjadi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S.Ag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pada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saat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itu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berada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dalam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lingkup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IAIN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tujuan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kompetensi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jelas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arahnya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serta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alasan-alasan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diberikan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Selanjutnya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pada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saat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beralihnya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IAIN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menjadi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UIN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memberikan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peluang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kompetensi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lebih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luas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sehingga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kesarjanaan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S.Ag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menjadi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sarjana-sarjana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sesuai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bida</w:t>
      </w:r>
      <w:r w:rsidR="003218D8">
        <w:rPr>
          <w:rFonts w:ascii="Times New Roman" w:hAnsi="Times New Roman"/>
          <w:sz w:val="24"/>
          <w:szCs w:val="24"/>
        </w:rPr>
        <w:t>ngnya</w:t>
      </w:r>
      <w:proofErr w:type="spellEnd"/>
      <w:r w:rsidR="00321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8D8">
        <w:rPr>
          <w:rFonts w:ascii="Times New Roman" w:hAnsi="Times New Roman"/>
          <w:sz w:val="24"/>
          <w:szCs w:val="24"/>
        </w:rPr>
        <w:t>masing-masing</w:t>
      </w:r>
      <w:proofErr w:type="spellEnd"/>
      <w:r w:rsidR="00321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8D8">
        <w:rPr>
          <w:rFonts w:ascii="Times New Roman" w:hAnsi="Times New Roman"/>
          <w:sz w:val="24"/>
          <w:szCs w:val="24"/>
        </w:rPr>
        <w:t>seperti</w:t>
      </w:r>
      <w:proofErr w:type="spellEnd"/>
      <w:r w:rsidR="003218D8">
        <w:rPr>
          <w:rFonts w:ascii="Times New Roman" w:hAnsi="Times New Roman"/>
          <w:sz w:val="24"/>
          <w:szCs w:val="24"/>
        </w:rPr>
        <w:t xml:space="preserve"> S.H</w:t>
      </w:r>
      <w:r w:rsidR="00D61224">
        <w:rPr>
          <w:rFonts w:ascii="Times New Roman" w:hAnsi="Times New Roman"/>
          <w:sz w:val="24"/>
          <w:szCs w:val="24"/>
        </w:rPr>
        <w:t>I</w:t>
      </w:r>
      <w:r w:rsidR="00D61224" w:rsidRPr="0009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61224" w:rsidRPr="00096F4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.E.I</w:t>
      </w:r>
      <w:r w:rsidR="00D61224" w:rsidRPr="00096F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Perubahan-perubahan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itu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dirasakan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semakin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memberikan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ruang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peluang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bagi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setiap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disiplin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keilmuan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ada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dalamnya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D61224" w:rsidRPr="00096F4A">
        <w:rPr>
          <w:rFonts w:ascii="Times New Roman" w:hAnsi="Times New Roman"/>
          <w:sz w:val="24"/>
          <w:szCs w:val="24"/>
        </w:rPr>
        <w:t>Termasuk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pemberian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gelar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sarjana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Syari’ah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S</w:t>
      </w:r>
      <w:r w:rsidR="00D61224">
        <w:rPr>
          <w:rFonts w:ascii="Times New Roman" w:hAnsi="Times New Roman"/>
          <w:sz w:val="24"/>
          <w:szCs w:val="24"/>
        </w:rPr>
        <w:t>.</w:t>
      </w:r>
      <w:r w:rsidR="00D61224" w:rsidRPr="00096F4A">
        <w:rPr>
          <w:rFonts w:ascii="Times New Roman" w:hAnsi="Times New Roman"/>
          <w:sz w:val="24"/>
          <w:szCs w:val="24"/>
        </w:rPr>
        <w:t xml:space="preserve">HI,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perlahan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tapi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pasti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telah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membuka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peluang-peluang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ruang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cukup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r w:rsidR="00D61224" w:rsidRPr="00655058">
        <w:rPr>
          <w:rFonts w:ascii="Times New Roman" w:hAnsi="Times New Roman"/>
          <w:i/>
          <w:iCs/>
          <w:sz w:val="24"/>
          <w:szCs w:val="24"/>
        </w:rPr>
        <w:t>market</w:t>
      </w:r>
      <w:r w:rsidR="00AE6A91" w:rsidRPr="00AE6A91">
        <w:rPr>
          <w:rFonts w:ascii="Times New Roman" w:hAnsi="Times New Roman"/>
          <w:i/>
          <w:iCs/>
          <w:sz w:val="24"/>
          <w:szCs w:val="24"/>
        </w:rPr>
        <w:t>abl</w:t>
      </w:r>
      <w:r w:rsidR="00AE6A91">
        <w:rPr>
          <w:rFonts w:ascii="Times New Roman" w:hAnsi="Times New Roman"/>
          <w:i/>
          <w:iCs/>
          <w:sz w:val="24"/>
          <w:szCs w:val="24"/>
        </w:rPr>
        <w:t>e.</w:t>
      </w:r>
      <w:proofErr w:type="gramEnd"/>
    </w:p>
    <w:p w:rsidR="00D61224" w:rsidRPr="00096F4A" w:rsidRDefault="00AE6A91" w:rsidP="00AE6A9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D1649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2D16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D1649">
        <w:rPr>
          <w:rFonts w:ascii="Times New Roman" w:hAnsi="Times New Roman"/>
          <w:color w:val="000000" w:themeColor="text1"/>
          <w:sz w:val="24"/>
          <w:szCs w:val="24"/>
        </w:rPr>
        <w:t>sebab</w:t>
      </w:r>
      <w:proofErr w:type="spellEnd"/>
      <w:r w:rsidRPr="002D16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D1649">
        <w:rPr>
          <w:rFonts w:ascii="Times New Roman" w:hAnsi="Times New Roman"/>
          <w:color w:val="000000" w:themeColor="text1"/>
          <w:sz w:val="24"/>
          <w:szCs w:val="24"/>
        </w:rPr>
        <w:t>itu</w:t>
      </w:r>
      <w:proofErr w:type="spellEnd"/>
      <w:r w:rsidR="00D61224" w:rsidRPr="002D16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sangat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disayangkan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jika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sekarang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muncul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perubahan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pembaruan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terkait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</w:t>
      </w:r>
      <w:r w:rsidR="00D61224" w:rsidRPr="00096F4A">
        <w:rPr>
          <w:rFonts w:ascii="Times New Roman" w:hAnsi="Times New Roman"/>
          <w:sz w:val="24"/>
          <w:szCs w:val="24"/>
        </w:rPr>
        <w:t>r</w:t>
      </w:r>
      <w:r w:rsidR="00D61224">
        <w:rPr>
          <w:rFonts w:ascii="Times New Roman" w:hAnsi="Times New Roman"/>
          <w:sz w:val="24"/>
          <w:szCs w:val="24"/>
        </w:rPr>
        <w:t>a</w:t>
      </w:r>
      <w:r w:rsidR="00D61224" w:rsidRPr="00096F4A">
        <w:rPr>
          <w:rFonts w:ascii="Times New Roman" w:hAnsi="Times New Roman"/>
          <w:sz w:val="24"/>
          <w:szCs w:val="24"/>
        </w:rPr>
        <w:t>turan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baru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>
        <w:rPr>
          <w:rFonts w:ascii="Times New Roman" w:hAnsi="Times New Roman"/>
          <w:sz w:val="24"/>
          <w:szCs w:val="24"/>
        </w:rPr>
        <w:t>kurang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menangkap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ruh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maupun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esensi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dari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perubahan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itu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sendiri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>.</w:t>
      </w:r>
      <w:proofErr w:type="gram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61224" w:rsidRPr="00096F4A">
        <w:rPr>
          <w:rFonts w:ascii="Times New Roman" w:hAnsi="Times New Roman"/>
          <w:sz w:val="24"/>
          <w:szCs w:val="24"/>
        </w:rPr>
        <w:t>Idealnya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semua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perubahan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diharapkan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tetap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merenungkan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esensi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nilai-nilai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kemaslahatannya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dan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bukan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perubahan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>
        <w:rPr>
          <w:rFonts w:ascii="Times New Roman" w:hAnsi="Times New Roman"/>
          <w:sz w:val="24"/>
          <w:szCs w:val="24"/>
        </w:rPr>
        <w:t>tidak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bermakna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apalagi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61224">
        <w:rPr>
          <w:rFonts w:ascii="Times New Roman" w:hAnsi="Times New Roman"/>
          <w:sz w:val="24"/>
          <w:szCs w:val="24"/>
        </w:rPr>
        <w:t>menutup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peluang</w:t>
      </w:r>
      <w:proofErr w:type="spellEnd"/>
      <w:r w:rsidR="00D6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>
        <w:rPr>
          <w:rFonts w:ascii="Times New Roman" w:hAnsi="Times New Roman"/>
          <w:sz w:val="24"/>
          <w:szCs w:val="24"/>
        </w:rPr>
        <w:t>dan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ru</w:t>
      </w:r>
      <w:r w:rsidR="00881BC7">
        <w:rPr>
          <w:rFonts w:ascii="Times New Roman" w:hAnsi="Times New Roman"/>
          <w:sz w:val="24"/>
          <w:szCs w:val="24"/>
        </w:rPr>
        <w:t>a</w:t>
      </w:r>
      <w:r w:rsidR="00D61224" w:rsidRPr="00096F4A">
        <w:rPr>
          <w:rFonts w:ascii="Times New Roman" w:hAnsi="Times New Roman"/>
          <w:sz w:val="24"/>
          <w:szCs w:val="24"/>
        </w:rPr>
        <w:t>ng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gerak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nasib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anak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224" w:rsidRPr="00096F4A">
        <w:rPr>
          <w:rFonts w:ascii="Times New Roman" w:hAnsi="Times New Roman"/>
          <w:sz w:val="24"/>
          <w:szCs w:val="24"/>
        </w:rPr>
        <w:t>bangsa</w:t>
      </w:r>
      <w:proofErr w:type="spellEnd"/>
      <w:r w:rsidR="00D61224" w:rsidRPr="00096F4A">
        <w:rPr>
          <w:rFonts w:ascii="Times New Roman" w:hAnsi="Times New Roman"/>
          <w:sz w:val="24"/>
          <w:szCs w:val="24"/>
        </w:rPr>
        <w:t>.</w:t>
      </w:r>
      <w:proofErr w:type="gramEnd"/>
      <w:r w:rsidR="00D61224" w:rsidRPr="00096F4A">
        <w:rPr>
          <w:rFonts w:ascii="Times New Roman" w:hAnsi="Times New Roman"/>
          <w:sz w:val="24"/>
          <w:szCs w:val="24"/>
        </w:rPr>
        <w:t xml:space="preserve"> </w:t>
      </w:r>
    </w:p>
    <w:p w:rsidR="00D61224" w:rsidRPr="00096F4A" w:rsidRDefault="00D61224" w:rsidP="00AE6A9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Emphasis"/>
          <w:rFonts w:ascii="Times New Roman" w:hAnsi="Times New Roman"/>
          <w:i w:val="0"/>
        </w:rPr>
      </w:pPr>
      <w:proofErr w:type="spellStart"/>
      <w:r w:rsidRPr="00096F4A">
        <w:rPr>
          <w:rFonts w:ascii="Times New Roman" w:hAnsi="Times New Roman"/>
        </w:rPr>
        <w:t>Dalam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perubahan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penetapan</w:t>
      </w:r>
      <w:proofErr w:type="spellEnd"/>
      <w:r>
        <w:rPr>
          <w:rFonts w:ascii="Times New Roman" w:hAnsi="Times New Roman"/>
        </w:rPr>
        <w:t xml:space="preserve"> PMA No 36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2009 </w:t>
      </w:r>
      <w:proofErr w:type="spellStart"/>
      <w:r w:rsidRPr="00096F4A">
        <w:rPr>
          <w:rFonts w:ascii="Times New Roman" w:hAnsi="Times New Roman"/>
        </w:rPr>
        <w:t>ini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4</w:t>
      </w:r>
      <w:r w:rsidRPr="00096F4A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empat</w:t>
      </w:r>
      <w:proofErr w:type="spellEnd"/>
      <w:r w:rsidRPr="00096F4A"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per</w:t>
      </w:r>
      <w:r w:rsidRPr="00096F4A">
        <w:rPr>
          <w:rFonts w:ascii="Times New Roman" w:hAnsi="Times New Roman"/>
        </w:rPr>
        <w:t>masalah</w:t>
      </w:r>
      <w:r>
        <w:rPr>
          <w:rFonts w:ascii="Times New Roman" w:hAnsi="Times New Roman"/>
        </w:rPr>
        <w:t>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utama</w:t>
      </w:r>
      <w:proofErr w:type="spellEnd"/>
      <w:r w:rsidRPr="00096F4A">
        <w:rPr>
          <w:rFonts w:ascii="Times New Roman" w:hAnsi="Times New Roman"/>
        </w:rPr>
        <w:t xml:space="preserve"> yang </w:t>
      </w:r>
      <w:proofErr w:type="spellStart"/>
      <w:r w:rsidRPr="00096F4A">
        <w:rPr>
          <w:rFonts w:ascii="Times New Roman" w:hAnsi="Times New Roman"/>
        </w:rPr>
        <w:t>perlu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kita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pahami</w:t>
      </w:r>
      <w:proofErr w:type="spellEnd"/>
      <w:r>
        <w:rPr>
          <w:rFonts w:ascii="Times New Roman" w:hAnsi="Times New Roman"/>
        </w:rPr>
        <w:t>,</w:t>
      </w:r>
      <w:r w:rsidRPr="00096F4A">
        <w:rPr>
          <w:rFonts w:ascii="Times New Roman" w:hAnsi="Times New Roman"/>
        </w:rPr>
        <w:t xml:space="preserve"> </w:t>
      </w:r>
      <w:proofErr w:type="spellStart"/>
      <w:r w:rsidRPr="00F35502">
        <w:rPr>
          <w:rFonts w:ascii="Times New Roman" w:hAnsi="Times New Roman"/>
          <w:b/>
          <w:bCs/>
          <w:i/>
          <w:iCs/>
        </w:rPr>
        <w:t>pertama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adanya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F35502">
        <w:rPr>
          <w:rFonts w:ascii="Times New Roman" w:hAnsi="Times New Roman"/>
          <w:b/>
          <w:bCs/>
        </w:rPr>
        <w:t>dikotomi</w:t>
      </w:r>
      <w:proofErr w:type="spellEnd"/>
      <w:r w:rsidRPr="00F35502">
        <w:rPr>
          <w:rFonts w:ascii="Times New Roman" w:hAnsi="Times New Roman"/>
          <w:b/>
          <w:bCs/>
        </w:rPr>
        <w:t xml:space="preserve"> </w:t>
      </w:r>
      <w:proofErr w:type="spellStart"/>
      <w:r w:rsidRPr="00F35502">
        <w:rPr>
          <w:rFonts w:ascii="Times New Roman" w:hAnsi="Times New Roman"/>
          <w:b/>
          <w:bCs/>
        </w:rPr>
        <w:t>keilmuan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kembali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dengan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ruang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lingkup</w:t>
      </w:r>
      <w:proofErr w:type="spellEnd"/>
      <w:r w:rsidRPr="00096F4A">
        <w:rPr>
          <w:rFonts w:ascii="Times New Roman" w:hAnsi="Times New Roman"/>
        </w:rPr>
        <w:t xml:space="preserve"> yang </w:t>
      </w:r>
      <w:proofErr w:type="spellStart"/>
      <w:r w:rsidRPr="00096F4A">
        <w:rPr>
          <w:rFonts w:ascii="Times New Roman" w:hAnsi="Times New Roman"/>
        </w:rPr>
        <w:t>dipersempit</w:t>
      </w:r>
      <w:proofErr w:type="spellEnd"/>
      <w:r w:rsidRPr="00096F4A">
        <w:rPr>
          <w:rFonts w:ascii="Times New Roman" w:hAnsi="Times New Roman"/>
        </w:rPr>
        <w:t xml:space="preserve">, </w:t>
      </w:r>
      <w:proofErr w:type="spellStart"/>
      <w:r w:rsidRPr="00096F4A">
        <w:rPr>
          <w:rFonts w:ascii="Times New Roman" w:hAnsi="Times New Roman"/>
        </w:rPr>
        <w:t>yaitu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S.Sy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terkesan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diarahkan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pada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wilayah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kompetensi</w:t>
      </w:r>
      <w:proofErr w:type="spellEnd"/>
      <w:r w:rsidRPr="00096F4A">
        <w:rPr>
          <w:rFonts w:ascii="Times New Roman" w:hAnsi="Times New Roman"/>
        </w:rPr>
        <w:t xml:space="preserve"> “Agama” </w:t>
      </w:r>
      <w:r w:rsidRPr="00F35502">
        <w:rPr>
          <w:rFonts w:ascii="Times New Roman" w:hAnsi="Times New Roman"/>
          <w:i/>
          <w:iCs/>
        </w:rPr>
        <w:t xml:space="preserve">an </w:t>
      </w:r>
      <w:proofErr w:type="spellStart"/>
      <w:r w:rsidRPr="00F35502">
        <w:rPr>
          <w:rFonts w:ascii="Times New Roman" w:hAnsi="Times New Roman"/>
          <w:i/>
          <w:iCs/>
        </w:rPr>
        <w:t>sich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sementara</w:t>
      </w:r>
      <w:proofErr w:type="spellEnd"/>
      <w:r>
        <w:rPr>
          <w:rFonts w:ascii="Times New Roman" w:hAnsi="Times New Roman"/>
        </w:rPr>
        <w:t xml:space="preserve"> S.H.I. </w:t>
      </w:r>
      <w:proofErr w:type="spellStart"/>
      <w:r>
        <w:rPr>
          <w:rFonts w:ascii="Times New Roman" w:hAnsi="Times New Roman"/>
        </w:rPr>
        <w:t>selama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dikotomi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keilmuan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, S.H.I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mampu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mengintegrasikan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keilmuan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hukum</w:t>
      </w:r>
      <w:proofErr w:type="spellEnd"/>
      <w:r>
        <w:rPr>
          <w:rFonts w:ascii="Times New Roman" w:hAnsi="Times New Roman"/>
        </w:rPr>
        <w:t xml:space="preserve"> Islam (agama)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keilmuan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hukum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E6A91">
        <w:rPr>
          <w:rFonts w:ascii="Times New Roman" w:hAnsi="Times New Roman"/>
        </w:rPr>
        <w:t>positif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 w:rsidRPr="00F35502">
        <w:rPr>
          <w:rFonts w:ascii="Times New Roman" w:hAnsi="Times New Roman"/>
          <w:b/>
          <w:bCs/>
          <w:i/>
          <w:iCs/>
        </w:rPr>
        <w:t>Kedua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penetapan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merupakan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keputusan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proofErr w:type="gramStart"/>
      <w:r w:rsidRPr="00096F4A">
        <w:rPr>
          <w:rFonts w:ascii="Times New Roman" w:hAnsi="Times New Roman"/>
        </w:rPr>
        <w:t>sepihak</w:t>
      </w:r>
      <w:proofErr w:type="spellEnd"/>
      <w:r>
        <w:rPr>
          <w:rFonts w:ascii="Times New Roman" w:hAnsi="Times New Roman"/>
        </w:rPr>
        <w:t xml:space="preserve"> </w:t>
      </w:r>
      <w:r w:rsidRPr="00096F4A">
        <w:rPr>
          <w:rFonts w:ascii="Times New Roman" w:hAnsi="Times New Roman"/>
        </w:rPr>
        <w:t xml:space="preserve"> yang</w:t>
      </w:r>
      <w:proofErr w:type="gram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kurang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melibatkan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pertimbangan-pertimbangan</w:t>
      </w:r>
      <w:proofErr w:type="spellEnd"/>
      <w:r w:rsidRPr="00096F4A">
        <w:rPr>
          <w:rFonts w:ascii="Times New Roman" w:hAnsi="Times New Roman"/>
        </w:rPr>
        <w:t xml:space="preserve"> forum </w:t>
      </w:r>
      <w:proofErr w:type="spellStart"/>
      <w:r w:rsidRPr="00096F4A">
        <w:rPr>
          <w:rFonts w:ascii="Times New Roman" w:hAnsi="Times New Roman"/>
        </w:rPr>
        <w:t>dekan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Syari’ah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seluruh</w:t>
      </w:r>
      <w:proofErr w:type="spellEnd"/>
      <w:r w:rsidRPr="00096F4A">
        <w:rPr>
          <w:rFonts w:ascii="Times New Roman" w:hAnsi="Times New Roman"/>
        </w:rPr>
        <w:t xml:space="preserve"> Indonesia </w:t>
      </w:r>
      <w:proofErr w:type="spellStart"/>
      <w:r w:rsidR="00AE6A91">
        <w:rPr>
          <w:rFonts w:ascii="Times New Roman" w:hAnsi="Times New Roman"/>
        </w:rPr>
        <w:t>dan</w:t>
      </w:r>
      <w:proofErr w:type="spellEnd"/>
      <w:r w:rsidR="00AE6A91">
        <w:rPr>
          <w:rFonts w:ascii="Times New Roman" w:hAnsi="Times New Roman"/>
        </w:rPr>
        <w:t xml:space="preserve"> forum </w:t>
      </w:r>
      <w:proofErr w:type="spellStart"/>
      <w:r w:rsidR="00AE6A91">
        <w:rPr>
          <w:rFonts w:ascii="Times New Roman" w:hAnsi="Times New Roman"/>
        </w:rPr>
        <w:t>Asosiasi</w:t>
      </w:r>
      <w:proofErr w:type="spellEnd"/>
      <w:r w:rsidR="00AE6A91">
        <w:rPr>
          <w:rFonts w:ascii="Times New Roman" w:hAnsi="Times New Roman"/>
        </w:rPr>
        <w:t xml:space="preserve"> </w:t>
      </w:r>
      <w:proofErr w:type="spellStart"/>
      <w:r w:rsidR="00AE6A91">
        <w:rPr>
          <w:rFonts w:ascii="Times New Roman" w:hAnsi="Times New Roman"/>
        </w:rPr>
        <w:t>Dosen</w:t>
      </w:r>
      <w:proofErr w:type="spellEnd"/>
      <w:r w:rsidR="00AE6A91">
        <w:rPr>
          <w:rFonts w:ascii="Times New Roman" w:hAnsi="Times New Roman"/>
        </w:rPr>
        <w:t xml:space="preserve"> </w:t>
      </w:r>
      <w:proofErr w:type="spellStart"/>
      <w:r w:rsidR="00AE6A91">
        <w:rPr>
          <w:rFonts w:ascii="Times New Roman" w:hAnsi="Times New Roman"/>
        </w:rPr>
        <w:t>Syariah</w:t>
      </w:r>
      <w:proofErr w:type="spellEnd"/>
      <w:r w:rsidR="00AE6A91">
        <w:rPr>
          <w:rFonts w:ascii="Times New Roman" w:hAnsi="Times New Roman"/>
        </w:rPr>
        <w:t xml:space="preserve"> Indonesia </w:t>
      </w:r>
      <w:r w:rsidRPr="00096F4A"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merekomendasikan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perubahan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 w:rsidRPr="00096F4A">
        <w:rPr>
          <w:rFonts w:ascii="Times New Roman" w:hAnsi="Times New Roman"/>
        </w:rPr>
        <w:t>gelar</w:t>
      </w:r>
      <w:proofErr w:type="spellEnd"/>
      <w:r w:rsidRPr="00096F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 w:rsidRPr="00096F4A">
        <w:rPr>
          <w:rFonts w:ascii="Times New Roman" w:hAnsi="Times New Roman"/>
        </w:rPr>
        <w:t xml:space="preserve"> S</w:t>
      </w:r>
      <w:r w:rsidR="003218D8">
        <w:rPr>
          <w:rFonts w:ascii="Times New Roman" w:hAnsi="Times New Roman"/>
        </w:rPr>
        <w:t>.</w:t>
      </w:r>
      <w:r w:rsidRPr="00096F4A">
        <w:rPr>
          <w:rFonts w:ascii="Times New Roman" w:hAnsi="Times New Roman"/>
        </w:rPr>
        <w:t xml:space="preserve">HI </w:t>
      </w:r>
      <w:proofErr w:type="spellStart"/>
      <w:r w:rsidRPr="00096F4A">
        <w:rPr>
          <w:rFonts w:ascii="Times New Roman" w:hAnsi="Times New Roman"/>
        </w:rPr>
        <w:t>menjadi</w:t>
      </w:r>
      <w:proofErr w:type="spellEnd"/>
      <w:r w:rsidRPr="00096F4A">
        <w:rPr>
          <w:rFonts w:ascii="Times New Roman" w:hAnsi="Times New Roman"/>
        </w:rPr>
        <w:t xml:space="preserve"> SH. </w:t>
      </w:r>
    </w:p>
    <w:p w:rsidR="000B5E9F" w:rsidRDefault="00D61224" w:rsidP="000B5E9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6F4A">
        <w:rPr>
          <w:rFonts w:ascii="Times New Roman" w:hAnsi="Times New Roman"/>
          <w:sz w:val="24"/>
          <w:szCs w:val="24"/>
        </w:rPr>
        <w:t>Berdasarkan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uraian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A91">
        <w:rPr>
          <w:rFonts w:ascii="Times New Roman" w:hAnsi="Times New Roman"/>
          <w:sz w:val="24"/>
          <w:szCs w:val="24"/>
        </w:rPr>
        <w:t>di</w:t>
      </w:r>
      <w:proofErr w:type="spellEnd"/>
      <w:r w:rsidR="00AE6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A91">
        <w:rPr>
          <w:rFonts w:ascii="Times New Roman" w:hAnsi="Times New Roman"/>
          <w:sz w:val="24"/>
          <w:szCs w:val="24"/>
        </w:rPr>
        <w:t>atas</w:t>
      </w:r>
      <w:proofErr w:type="spellEnd"/>
      <w:r w:rsidR="00AE6A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A91">
        <w:rPr>
          <w:rFonts w:ascii="Times New Roman" w:hAnsi="Times New Roman"/>
          <w:sz w:val="24"/>
          <w:szCs w:val="24"/>
        </w:rPr>
        <w:t>maka</w:t>
      </w:r>
      <w:proofErr w:type="spellEnd"/>
      <w:r w:rsidR="00AE6A91">
        <w:rPr>
          <w:rFonts w:ascii="Times New Roman" w:hAnsi="Times New Roman"/>
          <w:sz w:val="24"/>
          <w:szCs w:val="24"/>
        </w:rPr>
        <w:t xml:space="preserve"> </w:t>
      </w:r>
      <w:r w:rsidRPr="00096F4A">
        <w:rPr>
          <w:rFonts w:ascii="Times New Roman" w:hAnsi="Times New Roman"/>
          <w:sz w:val="24"/>
          <w:szCs w:val="24"/>
        </w:rPr>
        <w:t xml:space="preserve">Forum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 w:rsidR="00CA5096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Syariah</w:t>
      </w:r>
      <w:proofErr w:type="spellEnd"/>
      <w:r w:rsidR="00CA5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096">
        <w:rPr>
          <w:rFonts w:ascii="Times New Roman" w:hAnsi="Times New Roman"/>
          <w:sz w:val="24"/>
          <w:szCs w:val="24"/>
        </w:rPr>
        <w:t>dan</w:t>
      </w:r>
      <w:proofErr w:type="spellEnd"/>
      <w:r w:rsidR="00CA5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096">
        <w:rPr>
          <w:rFonts w:ascii="Times New Roman" w:hAnsi="Times New Roman"/>
          <w:sz w:val="24"/>
          <w:szCs w:val="24"/>
        </w:rPr>
        <w:t>Hukum</w:t>
      </w:r>
      <w:proofErr w:type="spellEnd"/>
      <w:r w:rsidR="000B5E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A5096">
        <w:rPr>
          <w:rFonts w:ascii="Times New Roman" w:hAnsi="Times New Roman"/>
          <w:sz w:val="24"/>
          <w:szCs w:val="24"/>
        </w:rPr>
        <w:t>Syariah</w:t>
      </w:r>
      <w:proofErr w:type="spellEnd"/>
      <w:r w:rsidR="00CA5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096">
        <w:rPr>
          <w:rFonts w:ascii="Times New Roman" w:hAnsi="Times New Roman"/>
          <w:sz w:val="24"/>
          <w:szCs w:val="24"/>
        </w:rPr>
        <w:t>dan</w:t>
      </w:r>
      <w:proofErr w:type="spellEnd"/>
      <w:r w:rsidR="00CA5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096">
        <w:rPr>
          <w:rFonts w:ascii="Times New Roman" w:hAnsi="Times New Roman"/>
          <w:sz w:val="24"/>
          <w:szCs w:val="24"/>
        </w:rPr>
        <w:t>Ekonomi</w:t>
      </w:r>
      <w:proofErr w:type="spellEnd"/>
      <w:r w:rsidR="00CA5096">
        <w:rPr>
          <w:rFonts w:ascii="Times New Roman" w:hAnsi="Times New Roman"/>
          <w:sz w:val="24"/>
          <w:szCs w:val="24"/>
        </w:rPr>
        <w:t xml:space="preserve"> Islam </w:t>
      </w:r>
      <w:r w:rsidRPr="00096F4A">
        <w:rPr>
          <w:rFonts w:ascii="Times New Roman" w:hAnsi="Times New Roman"/>
          <w:sz w:val="24"/>
          <w:szCs w:val="24"/>
        </w:rPr>
        <w:t xml:space="preserve">se-Indonesia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forum </w:t>
      </w:r>
      <w:proofErr w:type="spellStart"/>
      <w:r>
        <w:rPr>
          <w:rFonts w:ascii="Times New Roman" w:hAnsi="Times New Roman"/>
          <w:sz w:val="24"/>
          <w:szCs w:val="24"/>
        </w:rPr>
        <w:t>Asosiasi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096F4A">
        <w:rPr>
          <w:rFonts w:ascii="Times New Roman" w:hAnsi="Times New Roman"/>
          <w:sz w:val="24"/>
          <w:szCs w:val="24"/>
        </w:rPr>
        <w:t>dengan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F4A">
        <w:rPr>
          <w:rFonts w:ascii="Times New Roman" w:hAnsi="Times New Roman"/>
          <w:sz w:val="24"/>
          <w:szCs w:val="24"/>
        </w:rPr>
        <w:t>ini</w:t>
      </w:r>
      <w:proofErr w:type="spellEnd"/>
      <w:r w:rsidRPr="00096F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rekomendasi</w:t>
      </w:r>
      <w:proofErr w:type="spellEnd"/>
      <w:r w:rsidR="000B5E9F">
        <w:rPr>
          <w:rFonts w:ascii="Times New Roman" w:hAnsi="Times New Roman"/>
          <w:sz w:val="24"/>
          <w:szCs w:val="24"/>
        </w:rPr>
        <w:t xml:space="preserve"> :</w:t>
      </w:r>
    </w:p>
    <w:p w:rsidR="00EF37E2" w:rsidRDefault="008045A2" w:rsidP="00881B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Pembindangan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Agama Islam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Swa</w:t>
      </w:r>
      <w:r w:rsidR="00881BC7">
        <w:rPr>
          <w:rFonts w:ascii="Times New Roman" w:hAnsi="Times New Roman"/>
          <w:sz w:val="24"/>
          <w:szCs w:val="24"/>
        </w:rPr>
        <w:t>sta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di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Fakultas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Syariah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sebagaimana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dalam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draf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berikut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:</w:t>
      </w:r>
    </w:p>
    <w:tbl>
      <w:tblPr>
        <w:tblW w:w="9237" w:type="dxa"/>
        <w:tblInd w:w="85" w:type="dxa"/>
        <w:tblLook w:val="04A0"/>
      </w:tblPr>
      <w:tblGrid>
        <w:gridCol w:w="450"/>
        <w:gridCol w:w="326"/>
        <w:gridCol w:w="2614"/>
        <w:gridCol w:w="1169"/>
        <w:gridCol w:w="851"/>
        <w:gridCol w:w="1134"/>
        <w:gridCol w:w="992"/>
        <w:gridCol w:w="851"/>
        <w:gridCol w:w="850"/>
      </w:tblGrid>
      <w:tr w:rsidR="002D1649" w:rsidRPr="00D712A0" w:rsidTr="002D1649">
        <w:trPr>
          <w:trHeight w:val="315"/>
        </w:trPr>
        <w:tc>
          <w:tcPr>
            <w:tcW w:w="4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94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CABANG, BIDANG DAN PROGRAM STUDI</w:t>
            </w:r>
          </w:p>
        </w:tc>
        <w:tc>
          <w:tcPr>
            <w:tcW w:w="584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GELAR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S3</w:t>
            </w:r>
          </w:p>
        </w:tc>
      </w:tr>
      <w:tr w:rsidR="002D1649" w:rsidRPr="00D712A0" w:rsidTr="002D1649">
        <w:trPr>
          <w:trHeight w:val="270"/>
        </w:trPr>
        <w:tc>
          <w:tcPr>
            <w:tcW w:w="4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Sebutan</w:t>
            </w:r>
            <w:proofErr w:type="spellEnd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Lengkap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Singkatan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Sebutan</w:t>
            </w:r>
            <w:proofErr w:type="spellEnd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Lengkap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Singkatan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Sebutan</w:t>
            </w:r>
            <w:proofErr w:type="spellEnd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Lengkap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spellStart"/>
            <w:r w:rsidRPr="00D712A0">
              <w:rPr>
                <w:rFonts w:ascii="Arial Narrow" w:hAnsi="Arial Narrow" w:cs="Arial"/>
                <w:b/>
                <w:bCs/>
                <w:sz w:val="16"/>
                <w:szCs w:val="16"/>
              </w:rPr>
              <w:t>Singkatan</w:t>
            </w:r>
            <w:proofErr w:type="spellEnd"/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Syari'ah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3218D8">
            <w:pPr>
              <w:spacing w:after="0" w:line="240" w:lineRule="auto"/>
              <w:ind w:left="273" w:hanging="273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a.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Keluarga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Akhwal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Syahsiyyah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b.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Pidana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 (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Jinayah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c.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Tatanegara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Siyasah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3218D8">
            <w:pPr>
              <w:spacing w:after="0" w:line="240" w:lineRule="auto"/>
              <w:ind w:left="132" w:hanging="132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d.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Perbandingan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Mazhab</w:t>
            </w:r>
            <w:proofErr w:type="spellEnd"/>
            <w:r w:rsidR="00881BC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81BC7">
              <w:rPr>
                <w:rFonts w:ascii="Arial Narrow" w:hAnsi="Arial Narrow" w:cs="Arial"/>
                <w:sz w:val="18"/>
                <w:szCs w:val="18"/>
              </w:rPr>
              <w:t>dan</w:t>
            </w:r>
            <w:proofErr w:type="spellEnd"/>
            <w:r w:rsidR="00881BC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81BC7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3218D8">
            <w:pPr>
              <w:spacing w:after="0" w:line="240" w:lineRule="auto"/>
              <w:ind w:left="132" w:hanging="132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e.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Ekonomi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Syari'ah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Mua'malah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f.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Zakat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dan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Wakaf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g.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Ilmu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Falak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h.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Keuangan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Syari'ah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55"/>
        </w:trPr>
        <w:tc>
          <w:tcPr>
            <w:tcW w:w="45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i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Bisnis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Syari'ah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Sarjana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S.HI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Magister </w:t>
            </w: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Hukum</w:t>
            </w:r>
            <w:proofErr w:type="spellEnd"/>
            <w:r w:rsidRPr="00D712A0">
              <w:rPr>
                <w:rFonts w:ascii="Arial Narrow" w:hAnsi="Arial Narrow" w:cs="Arial"/>
                <w:sz w:val="18"/>
                <w:szCs w:val="18"/>
              </w:rPr>
              <w:t xml:space="preserve"> Islam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M.HI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712A0">
              <w:rPr>
                <w:rFonts w:ascii="Arial Narrow" w:hAnsi="Arial Narrow" w:cs="Arial"/>
                <w:sz w:val="18"/>
                <w:szCs w:val="18"/>
              </w:rPr>
              <w:t>Doktor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712A0">
              <w:rPr>
                <w:rFonts w:ascii="Arial Narrow" w:hAnsi="Arial Narrow" w:cs="Arial"/>
                <w:sz w:val="18"/>
                <w:szCs w:val="18"/>
              </w:rPr>
              <w:t>Dr.</w:t>
            </w:r>
          </w:p>
        </w:tc>
      </w:tr>
      <w:tr w:rsidR="002D1649" w:rsidRPr="00D712A0" w:rsidTr="002D1649">
        <w:trPr>
          <w:trHeight w:val="270"/>
        </w:trPr>
        <w:tc>
          <w:tcPr>
            <w:tcW w:w="45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1649" w:rsidRPr="00D712A0" w:rsidRDefault="002D1649" w:rsidP="00BE3F7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712A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</w:tbl>
    <w:p w:rsidR="002D1649" w:rsidRDefault="002D1649" w:rsidP="002D164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5E9F" w:rsidRPr="006625EE" w:rsidRDefault="008045A2" w:rsidP="002D16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25EE">
        <w:rPr>
          <w:rFonts w:ascii="Times New Roman" w:hAnsi="Times New Roman"/>
          <w:sz w:val="24"/>
          <w:szCs w:val="24"/>
        </w:rPr>
        <w:t>Mempertahankan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625EE">
        <w:rPr>
          <w:rFonts w:ascii="Times New Roman" w:hAnsi="Times New Roman"/>
          <w:sz w:val="24"/>
          <w:szCs w:val="24"/>
        </w:rPr>
        <w:t>studi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Zakat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dan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wakaf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tetap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berada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di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Fakultas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Syariah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sebab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zakat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dan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wakaf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merupakan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kompetensi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Peradilan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6625EE">
        <w:rPr>
          <w:rFonts w:ascii="Times New Roman" w:hAnsi="Times New Roman"/>
          <w:sz w:val="24"/>
          <w:szCs w:val="24"/>
        </w:rPr>
        <w:t>dan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kajian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zakat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dan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wakaf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berada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pada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rumpun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keilmuan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25EE">
        <w:rPr>
          <w:rFonts w:ascii="Times New Roman" w:hAnsi="Times New Roman"/>
          <w:sz w:val="24"/>
          <w:szCs w:val="24"/>
        </w:rPr>
        <w:t>hukum</w:t>
      </w:r>
      <w:proofErr w:type="spellEnd"/>
      <w:r w:rsidRPr="006625EE">
        <w:rPr>
          <w:rFonts w:ascii="Times New Roman" w:hAnsi="Times New Roman"/>
          <w:sz w:val="24"/>
          <w:szCs w:val="24"/>
        </w:rPr>
        <w:t xml:space="preserve"> Islam</w:t>
      </w:r>
      <w:r w:rsidR="00BF45D7">
        <w:rPr>
          <w:rFonts w:ascii="Times New Roman" w:hAnsi="Times New Roman"/>
          <w:sz w:val="24"/>
          <w:szCs w:val="24"/>
        </w:rPr>
        <w:t>;</w:t>
      </w:r>
    </w:p>
    <w:p w:rsidR="000B5E9F" w:rsidRDefault="008045A2" w:rsidP="002D16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Mazhab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dikembalikan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</w:t>
      </w:r>
      <w:r w:rsidR="00BF45D7">
        <w:rPr>
          <w:rFonts w:ascii="Times New Roman" w:hAnsi="Times New Roman"/>
          <w:sz w:val="24"/>
          <w:szCs w:val="24"/>
        </w:rPr>
        <w:t>andingan</w:t>
      </w:r>
      <w:proofErr w:type="spellEnd"/>
      <w:r w:rsidR="00BF4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5D7">
        <w:rPr>
          <w:rFonts w:ascii="Times New Roman" w:hAnsi="Times New Roman"/>
          <w:sz w:val="24"/>
          <w:szCs w:val="24"/>
        </w:rPr>
        <w:t>Mazhab</w:t>
      </w:r>
      <w:proofErr w:type="spellEnd"/>
      <w:r w:rsidR="00BF4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5D7">
        <w:rPr>
          <w:rFonts w:ascii="Times New Roman" w:hAnsi="Times New Roman"/>
          <w:sz w:val="24"/>
          <w:szCs w:val="24"/>
        </w:rPr>
        <w:t>dan</w:t>
      </w:r>
      <w:proofErr w:type="spellEnd"/>
      <w:r w:rsidR="00BF4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5D7">
        <w:rPr>
          <w:rFonts w:ascii="Times New Roman" w:hAnsi="Times New Roman"/>
          <w:sz w:val="24"/>
          <w:szCs w:val="24"/>
        </w:rPr>
        <w:t>Hukum</w:t>
      </w:r>
      <w:proofErr w:type="spellEnd"/>
      <w:r w:rsidR="00BF45D7">
        <w:rPr>
          <w:rFonts w:ascii="Times New Roman" w:hAnsi="Times New Roman"/>
          <w:sz w:val="24"/>
          <w:szCs w:val="24"/>
        </w:rPr>
        <w:t xml:space="preserve"> (PMH);</w:t>
      </w:r>
    </w:p>
    <w:p w:rsidR="00752DB1" w:rsidRDefault="00B46BBD" w:rsidP="00881B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6BBD">
        <w:rPr>
          <w:rFonts w:ascii="Times New Roman" w:hAnsi="Times New Roman"/>
          <w:sz w:val="24"/>
          <w:szCs w:val="24"/>
        </w:rPr>
        <w:t>Menyeragamkan</w:t>
      </w:r>
      <w:proofErr w:type="spellEnd"/>
      <w:r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BBD">
        <w:rPr>
          <w:rFonts w:ascii="Times New Roman" w:hAnsi="Times New Roman"/>
          <w:sz w:val="24"/>
          <w:szCs w:val="24"/>
        </w:rPr>
        <w:t>sebutan</w:t>
      </w:r>
      <w:proofErr w:type="spellEnd"/>
      <w:r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BBD">
        <w:rPr>
          <w:rFonts w:ascii="Times New Roman" w:hAnsi="Times New Roman"/>
          <w:sz w:val="24"/>
          <w:szCs w:val="24"/>
        </w:rPr>
        <w:t>istilah</w:t>
      </w:r>
      <w:proofErr w:type="spellEnd"/>
      <w:r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6BBD">
        <w:rPr>
          <w:rFonts w:ascii="Times New Roman" w:hAnsi="Times New Roman"/>
          <w:sz w:val="24"/>
          <w:szCs w:val="24"/>
        </w:rPr>
        <w:t>nama</w:t>
      </w:r>
      <w:proofErr w:type="spellEnd"/>
      <w:proofErr w:type="gramEnd"/>
      <w:r w:rsidRPr="00B46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46BBD">
        <w:rPr>
          <w:rFonts w:ascii="Times New Roman" w:hAnsi="Times New Roman"/>
          <w:sz w:val="24"/>
          <w:szCs w:val="24"/>
        </w:rPr>
        <w:t xml:space="preserve">rogram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B46BBD">
        <w:rPr>
          <w:rFonts w:ascii="Times New Roman" w:hAnsi="Times New Roman"/>
          <w:sz w:val="24"/>
          <w:szCs w:val="24"/>
        </w:rPr>
        <w:t>tudi</w:t>
      </w:r>
      <w:proofErr w:type="spellEnd"/>
      <w:r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DB1" w:rsidRPr="00B46BBD">
        <w:rPr>
          <w:rFonts w:ascii="Times New Roman" w:hAnsi="Times New Roman"/>
          <w:sz w:val="24"/>
          <w:szCs w:val="24"/>
        </w:rPr>
        <w:t>Hukum</w:t>
      </w:r>
      <w:proofErr w:type="spellEnd"/>
      <w:r w:rsidR="00752DB1"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DB1" w:rsidRPr="00B46BBD">
        <w:rPr>
          <w:rFonts w:ascii="Times New Roman" w:hAnsi="Times New Roman"/>
          <w:sz w:val="24"/>
          <w:szCs w:val="24"/>
        </w:rPr>
        <w:t>Keluarga</w:t>
      </w:r>
      <w:proofErr w:type="spellEnd"/>
      <w:r w:rsidR="00752DB1" w:rsidRPr="00B46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menjadi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istilah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baku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1BC7">
        <w:rPr>
          <w:rFonts w:ascii="Times New Roman" w:hAnsi="Times New Roman"/>
          <w:sz w:val="24"/>
          <w:szCs w:val="24"/>
        </w:rPr>
        <w:t>seperti</w:t>
      </w:r>
      <w:proofErr w:type="spellEnd"/>
      <w:r w:rsidR="00881BC7">
        <w:rPr>
          <w:rFonts w:ascii="Times New Roman" w:hAnsi="Times New Roman"/>
          <w:sz w:val="24"/>
          <w:szCs w:val="24"/>
        </w:rPr>
        <w:t xml:space="preserve"> “</w:t>
      </w:r>
      <w:r w:rsidR="00752DB1" w:rsidRPr="00B46BBD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="00752DB1" w:rsidRPr="00B46BBD">
        <w:rPr>
          <w:rFonts w:ascii="Times New Roman" w:hAnsi="Times New Roman"/>
          <w:sz w:val="24"/>
          <w:szCs w:val="24"/>
        </w:rPr>
        <w:t>Ahwal</w:t>
      </w:r>
      <w:proofErr w:type="spellEnd"/>
      <w:r w:rsidR="00752DB1" w:rsidRPr="00B46BB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752DB1" w:rsidRPr="00B46BBD">
        <w:rPr>
          <w:rFonts w:ascii="Times New Roman" w:hAnsi="Times New Roman"/>
          <w:sz w:val="24"/>
          <w:szCs w:val="24"/>
        </w:rPr>
        <w:t>Syakhsiyyah</w:t>
      </w:r>
      <w:proofErr w:type="spellEnd"/>
      <w:r w:rsidR="00881BC7">
        <w:rPr>
          <w:rFonts w:ascii="Times New Roman" w:hAnsi="Times New Roman"/>
          <w:sz w:val="24"/>
          <w:szCs w:val="24"/>
        </w:rPr>
        <w:t>”.</w:t>
      </w:r>
    </w:p>
    <w:p w:rsidR="006C2708" w:rsidRDefault="006C2708" w:rsidP="00AE6A9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Malang, 22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2014</w:t>
      </w: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Forum </w:t>
      </w:r>
      <w:proofErr w:type="spellStart"/>
      <w:r>
        <w:rPr>
          <w:rFonts w:ascii="Times New Roman" w:hAnsi="Times New Roman"/>
          <w:sz w:val="24"/>
          <w:szCs w:val="24"/>
        </w:rPr>
        <w:t>Asosiasi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</w:t>
      </w:r>
    </w:p>
    <w:p w:rsidR="002D1649" w:rsidRDefault="00881BC7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3211373</wp:posOffset>
            </wp:positionH>
            <wp:positionV relativeFrom="paragraph">
              <wp:posOffset>55803</wp:posOffset>
            </wp:positionV>
            <wp:extent cx="826618" cy="1104596"/>
            <wp:effectExtent l="0" t="0" r="0" b="0"/>
            <wp:wrapNone/>
            <wp:docPr id="1" name="Picture 1" descr="D:\TTD Dekan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TD Dekan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8" cy="110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D1649">
        <w:rPr>
          <w:rFonts w:ascii="Times New Roman" w:hAnsi="Times New Roman"/>
          <w:sz w:val="24"/>
          <w:szCs w:val="24"/>
        </w:rPr>
        <w:t>Periode</w:t>
      </w:r>
      <w:proofErr w:type="spellEnd"/>
      <w:r w:rsidR="002D1649">
        <w:rPr>
          <w:rFonts w:ascii="Times New Roman" w:hAnsi="Times New Roman"/>
          <w:sz w:val="24"/>
          <w:szCs w:val="24"/>
        </w:rPr>
        <w:t xml:space="preserve"> 2013 – 20</w:t>
      </w:r>
      <w:r w:rsidR="002021CE">
        <w:rPr>
          <w:rFonts w:ascii="Times New Roman" w:hAnsi="Times New Roman"/>
          <w:sz w:val="24"/>
          <w:szCs w:val="24"/>
        </w:rPr>
        <w:t>1</w:t>
      </w:r>
      <w:r w:rsidR="002D1649">
        <w:rPr>
          <w:rFonts w:ascii="Times New Roman" w:hAnsi="Times New Roman"/>
          <w:sz w:val="24"/>
          <w:szCs w:val="24"/>
        </w:rPr>
        <w:t>6</w:t>
      </w: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:rsidR="002D1649" w:rsidRDefault="002D1649" w:rsidP="002D1649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H. </w:t>
      </w:r>
      <w:proofErr w:type="spellStart"/>
      <w:r>
        <w:rPr>
          <w:rFonts w:ascii="Times New Roman" w:hAnsi="Times New Roman"/>
          <w:sz w:val="24"/>
          <w:szCs w:val="24"/>
        </w:rPr>
        <w:t>Roibin</w:t>
      </w:r>
      <w:proofErr w:type="spellEnd"/>
      <w:r>
        <w:rPr>
          <w:rFonts w:ascii="Times New Roman" w:hAnsi="Times New Roman"/>
          <w:sz w:val="24"/>
          <w:szCs w:val="24"/>
        </w:rPr>
        <w:t>, M.H.I.</w:t>
      </w:r>
    </w:p>
    <w:p w:rsidR="00D61224" w:rsidRPr="00096F4A" w:rsidRDefault="00D61224" w:rsidP="00D61224">
      <w:pPr>
        <w:widowControl w:val="0"/>
        <w:autoSpaceDE w:val="0"/>
        <w:autoSpaceDN w:val="0"/>
        <w:adjustRightInd w:val="0"/>
        <w:spacing w:after="0" w:line="360" w:lineRule="auto"/>
        <w:ind w:right="-15"/>
        <w:jc w:val="both"/>
        <w:rPr>
          <w:rFonts w:ascii="Times New Roman" w:hAnsi="Times New Roman"/>
          <w:sz w:val="24"/>
          <w:szCs w:val="24"/>
        </w:rPr>
      </w:pPr>
    </w:p>
    <w:p w:rsidR="00D61224" w:rsidRPr="001A5745" w:rsidRDefault="00D61224" w:rsidP="00D6122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92864" w:rsidRDefault="00A92864"/>
    <w:sectPr w:rsidR="00A92864" w:rsidSect="002D1649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C65"/>
    <w:multiLevelType w:val="hybridMultilevel"/>
    <w:tmpl w:val="8D36B5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044F"/>
    <w:multiLevelType w:val="hybridMultilevel"/>
    <w:tmpl w:val="49584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1224"/>
    <w:rsid w:val="000B5E9F"/>
    <w:rsid w:val="00140400"/>
    <w:rsid w:val="002021CE"/>
    <w:rsid w:val="002D1649"/>
    <w:rsid w:val="003218D8"/>
    <w:rsid w:val="005B6E5A"/>
    <w:rsid w:val="00655058"/>
    <w:rsid w:val="006625EE"/>
    <w:rsid w:val="006C2708"/>
    <w:rsid w:val="00752DB1"/>
    <w:rsid w:val="007F5DFD"/>
    <w:rsid w:val="008045A2"/>
    <w:rsid w:val="00881BC7"/>
    <w:rsid w:val="00A92864"/>
    <w:rsid w:val="00AE6A91"/>
    <w:rsid w:val="00B46BBD"/>
    <w:rsid w:val="00BF45D7"/>
    <w:rsid w:val="00CA5096"/>
    <w:rsid w:val="00D61224"/>
    <w:rsid w:val="00D95ED0"/>
    <w:rsid w:val="00E170D2"/>
    <w:rsid w:val="00E3680E"/>
    <w:rsid w:val="00E42BDE"/>
    <w:rsid w:val="00EF37E2"/>
    <w:rsid w:val="00F93CD2"/>
    <w:rsid w:val="00FF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2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1224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122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D61224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0B5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C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SYARIAH</cp:lastModifiedBy>
  <cp:revision>3</cp:revision>
  <cp:lastPrinted>2014-10-28T02:38:00Z</cp:lastPrinted>
  <dcterms:created xsi:type="dcterms:W3CDTF">2014-10-28T05:46:00Z</dcterms:created>
  <dcterms:modified xsi:type="dcterms:W3CDTF">2014-10-28T05:47:00Z</dcterms:modified>
</cp:coreProperties>
</file>